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4A5B" w:rsidRPr="00FE4A5B" w:rsidRDefault="00FE4A5B" w:rsidP="00FE4A5B">
      <w:pPr>
        <w:spacing w:after="0" w:line="240" w:lineRule="auto"/>
        <w:outlineLvl w:val="0"/>
        <w:rPr>
          <w:rFonts w:ascii="Times New Roman" w:eastAsia="Times New Roman" w:hAnsi="Times New Roman" w:cs="Times New Roman"/>
          <w:b/>
          <w:bCs/>
          <w:kern w:val="36"/>
          <w:sz w:val="36"/>
          <w:szCs w:val="36"/>
          <w:lang w:eastAsia="it-IT"/>
          <w14:ligatures w14:val="none"/>
        </w:rPr>
      </w:pPr>
      <w:r w:rsidRPr="00FE4A5B">
        <w:rPr>
          <w:rFonts w:ascii="Times New Roman" w:eastAsia="Times New Roman" w:hAnsi="Times New Roman" w:cs="Times New Roman"/>
          <w:b/>
          <w:bCs/>
          <w:kern w:val="36"/>
          <w:sz w:val="36"/>
          <w:szCs w:val="36"/>
          <w:lang w:eastAsia="it-IT"/>
          <w14:ligatures w14:val="none"/>
        </w:rPr>
        <w:t>SCHEMA DI CONVENZIONE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per l'attuazione del modello di gestione partecipativa del Centro Polifunzionale di Comunità "NUOVO DELFINO"</w:t>
      </w:r>
      <w:r w:rsidRPr="00FE4A5B">
        <w:rPr>
          <w:rFonts w:ascii="Times New Roman" w:eastAsia="Times New Roman" w:hAnsi="Times New Roman" w:cs="Times New Roman"/>
          <w:kern w:val="0"/>
          <w:sz w:val="22"/>
          <w:szCs w:val="22"/>
          <w:lang w:eastAsia="it-IT"/>
          <w14:ligatures w14:val="none"/>
        </w:rPr>
        <w:br/>
        <w:t xml:space="preserve">ai sensi dell'art. 55 del </w:t>
      </w:r>
      <w:proofErr w:type="spellStart"/>
      <w:r w:rsidRPr="00FE4A5B">
        <w:rPr>
          <w:rFonts w:ascii="Times New Roman" w:eastAsia="Times New Roman" w:hAnsi="Times New Roman" w:cs="Times New Roman"/>
          <w:kern w:val="0"/>
          <w:sz w:val="22"/>
          <w:szCs w:val="22"/>
          <w:lang w:eastAsia="it-IT"/>
          <w14:ligatures w14:val="none"/>
        </w:rPr>
        <w:t>D.Lgs.</w:t>
      </w:r>
      <w:proofErr w:type="spellEnd"/>
      <w:r w:rsidRPr="00FE4A5B">
        <w:rPr>
          <w:rFonts w:ascii="Times New Roman" w:eastAsia="Times New Roman" w:hAnsi="Times New Roman" w:cs="Times New Roman"/>
          <w:kern w:val="0"/>
          <w:sz w:val="22"/>
          <w:szCs w:val="22"/>
          <w:lang w:eastAsia="it-IT"/>
          <w14:ligatures w14:val="none"/>
        </w:rPr>
        <w:t xml:space="preserve"> 117/2017</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i/>
          <w:iCs/>
          <w:kern w:val="0"/>
          <w:sz w:val="22"/>
          <w:szCs w:val="22"/>
          <w:lang w:eastAsia="it-IT"/>
          <w14:ligatures w14:val="none"/>
        </w:rPr>
        <w:t>(versione in bozza da perfezionare in esito dei tavoli di co-progettazione)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tra</w:t>
      </w:r>
    </w:p>
    <w:p w:rsidR="00FE4A5B" w:rsidRPr="00FE4A5B" w:rsidRDefault="00FE4A5B" w:rsidP="00FE4A5B">
      <w:pPr>
        <w:numPr>
          <w:ilvl w:val="0"/>
          <w:numId w:val="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Amministrazione procedente (AP)</w:t>
      </w:r>
      <w:r w:rsidRPr="00FE4A5B">
        <w:rPr>
          <w:rFonts w:ascii="Times New Roman" w:eastAsia="Times New Roman" w:hAnsi="Times New Roman" w:cs="Times New Roman"/>
          <w:kern w:val="0"/>
          <w:sz w:val="22"/>
          <w:szCs w:val="22"/>
          <w:lang w:eastAsia="it-IT"/>
          <w14:ligatures w14:val="none"/>
        </w:rPr>
        <w:t>: Comune di Rio Saliceto, con sede legale in Via Roma n. 18, 42010 Rio Saliceto (RE), C.F. [codice fiscale], rappresentato da [nome e qualifica], in qualità di [ruolo], domiciliato per la carica presso la sede dell'Ente, di seguito denominato anche "Comune";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e</w:t>
      </w:r>
    </w:p>
    <w:p w:rsidR="00FE4A5B" w:rsidRPr="00FE4A5B" w:rsidRDefault="00FE4A5B" w:rsidP="00FE4A5B">
      <w:pPr>
        <w:numPr>
          <w:ilvl w:val="0"/>
          <w:numId w:val="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Ente Attuatore Partner (EAP)</w:t>
      </w:r>
      <w:r w:rsidRPr="00FE4A5B">
        <w:rPr>
          <w:rFonts w:ascii="Times New Roman" w:eastAsia="Times New Roman" w:hAnsi="Times New Roman" w:cs="Times New Roman"/>
          <w:kern w:val="0"/>
          <w:sz w:val="22"/>
          <w:szCs w:val="22"/>
          <w:lang w:eastAsia="it-IT"/>
          <w14:ligatures w14:val="none"/>
        </w:rPr>
        <w:t>: [denominazione], con sede legale in [indirizzo], C.F. [codice fiscale], iscritto al RUNTS nella sezione [sezione], rappresentato da [nome e qualifica], in qualità di legale rappresentante, domiciliato per la carica presso la sede dell'Ente, di seguito denominato anche "EAP";</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di seguito denominati congiuntamente "Parti"</w:t>
      </w:r>
    </w:p>
    <w:p w:rsid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DEFINIZIONI</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Ai fini della presente Convenzione si intende per:</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Amministrazione procedente (AP)</w:t>
      </w:r>
      <w:r w:rsidRPr="00FE4A5B">
        <w:rPr>
          <w:rFonts w:ascii="Times New Roman" w:eastAsia="Times New Roman" w:hAnsi="Times New Roman" w:cs="Times New Roman"/>
          <w:kern w:val="0"/>
          <w:sz w:val="22"/>
          <w:szCs w:val="22"/>
          <w:lang w:eastAsia="it-IT"/>
          <w14:ligatures w14:val="none"/>
        </w:rPr>
        <w:t>: il Comune di Rio Saliceto quale ente titolare della procedura ad evidenza pubblica di co-progettazione, proprietario dell'immobile e garante istituzionale del progetto;</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Ente Attuatore Partner (EAP)</w:t>
      </w:r>
      <w:r w:rsidRPr="00FE4A5B">
        <w:rPr>
          <w:rFonts w:ascii="Times New Roman" w:eastAsia="Times New Roman" w:hAnsi="Times New Roman" w:cs="Times New Roman"/>
          <w:kern w:val="0"/>
          <w:sz w:val="22"/>
          <w:szCs w:val="22"/>
          <w:lang w:eastAsia="it-IT"/>
          <w14:ligatures w14:val="none"/>
        </w:rPr>
        <w:t>: Ente del Terzo Settore, singolo o in forma associata, selezionato come partner per l'attuazione del Progetto Definitivo esito della procedura ad evidenza pubblica di co-progettazione;</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Enti del Terzo Settore (ETS)</w:t>
      </w:r>
      <w:r w:rsidRPr="00FE4A5B">
        <w:rPr>
          <w:rFonts w:ascii="Times New Roman" w:eastAsia="Times New Roman" w:hAnsi="Times New Roman" w:cs="Times New Roman"/>
          <w:kern w:val="0"/>
          <w:sz w:val="22"/>
          <w:szCs w:val="22"/>
          <w:lang w:eastAsia="it-IT"/>
          <w14:ligatures w14:val="none"/>
        </w:rPr>
        <w:t>: i soggetti indicati nell'art. 4 del CTS, iscritti nel RUNTS;</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Altri enti e/o soggetti</w:t>
      </w:r>
      <w:r w:rsidRPr="00FE4A5B">
        <w:rPr>
          <w:rFonts w:ascii="Times New Roman" w:eastAsia="Times New Roman" w:hAnsi="Times New Roman" w:cs="Times New Roman"/>
          <w:kern w:val="0"/>
          <w:sz w:val="22"/>
          <w:szCs w:val="22"/>
          <w:lang w:eastAsia="it-IT"/>
          <w14:ligatures w14:val="none"/>
        </w:rPr>
        <w:t>: altri soggetti, diversi dall'EAP, che in qualità di partner di progetto, relativamente ad attività secondarie e comunque funzionali a quelle messe in atto dagli ETS, attivino rapporti di collaborazione con il partenariato, di cui comunque gli ETS dovranno essere capofila;</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CTS</w:t>
      </w:r>
      <w:r w:rsidRPr="00FE4A5B">
        <w:rPr>
          <w:rFonts w:ascii="Times New Roman" w:eastAsia="Times New Roman" w:hAnsi="Times New Roman" w:cs="Times New Roman"/>
          <w:kern w:val="0"/>
          <w:sz w:val="22"/>
          <w:szCs w:val="22"/>
          <w:lang w:eastAsia="it-IT"/>
          <w14:ligatures w14:val="none"/>
        </w:rPr>
        <w:t xml:space="preserve">: Codice del Terzo Settore, approvato con </w:t>
      </w:r>
      <w:proofErr w:type="spellStart"/>
      <w:r w:rsidRPr="00FE4A5B">
        <w:rPr>
          <w:rFonts w:ascii="Times New Roman" w:eastAsia="Times New Roman" w:hAnsi="Times New Roman" w:cs="Times New Roman"/>
          <w:kern w:val="0"/>
          <w:sz w:val="22"/>
          <w:szCs w:val="22"/>
          <w:lang w:eastAsia="it-IT"/>
          <w14:ligatures w14:val="none"/>
        </w:rPr>
        <w:t>D.Lgs.</w:t>
      </w:r>
      <w:proofErr w:type="spellEnd"/>
      <w:r w:rsidRPr="00FE4A5B">
        <w:rPr>
          <w:rFonts w:ascii="Times New Roman" w:eastAsia="Times New Roman" w:hAnsi="Times New Roman" w:cs="Times New Roman"/>
          <w:kern w:val="0"/>
          <w:sz w:val="22"/>
          <w:szCs w:val="22"/>
          <w:lang w:eastAsia="it-IT"/>
          <w14:ligatures w14:val="none"/>
        </w:rPr>
        <w:t xml:space="preserve"> n. 117/2017 e ss.mm.;</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Linee Guida</w:t>
      </w:r>
      <w:r w:rsidRPr="00FE4A5B">
        <w:rPr>
          <w:rFonts w:ascii="Times New Roman" w:eastAsia="Times New Roman" w:hAnsi="Times New Roman" w:cs="Times New Roman"/>
          <w:kern w:val="0"/>
          <w:sz w:val="22"/>
          <w:szCs w:val="22"/>
          <w:lang w:eastAsia="it-IT"/>
          <w14:ligatures w14:val="none"/>
        </w:rPr>
        <w:t>: il documento contenente gli indirizzi strategici, operativi e gestionali per il funzionamento del Nuovo Delfino, elaborato attraverso il processo partecipativo e parte integrante del Documento di Proposta Partecipata validato dal Tecnico di Garanzia Regionale;</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Gestione partecipativa</w:t>
      </w:r>
      <w:r w:rsidRPr="00FE4A5B">
        <w:rPr>
          <w:rFonts w:ascii="Times New Roman" w:eastAsia="Times New Roman" w:hAnsi="Times New Roman" w:cs="Times New Roman"/>
          <w:kern w:val="0"/>
          <w:sz w:val="22"/>
          <w:szCs w:val="22"/>
          <w:lang w:eastAsia="it-IT"/>
          <w14:ligatures w14:val="none"/>
        </w:rPr>
        <w:t>: il modello gestionale innovativo basato sulla collaborazione strutturata tra Comune, Gestore, Partner e Utilizzatori, articolato attraverso organi di coordinamento dedicati;</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Gestore</w:t>
      </w:r>
      <w:r w:rsidRPr="00FE4A5B">
        <w:rPr>
          <w:rFonts w:ascii="Times New Roman" w:eastAsia="Times New Roman" w:hAnsi="Times New Roman" w:cs="Times New Roman"/>
          <w:kern w:val="0"/>
          <w:sz w:val="22"/>
          <w:szCs w:val="22"/>
          <w:lang w:eastAsia="it-IT"/>
          <w14:ligatures w14:val="none"/>
        </w:rPr>
        <w:t>: il soggetto del Terzo Settore che assume il ruolo di coordinatore operativo del centro polifunzionale;</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Partner</w:t>
      </w:r>
      <w:r w:rsidRPr="00FE4A5B">
        <w:rPr>
          <w:rFonts w:ascii="Times New Roman" w:eastAsia="Times New Roman" w:hAnsi="Times New Roman" w:cs="Times New Roman"/>
          <w:kern w:val="0"/>
          <w:sz w:val="22"/>
          <w:szCs w:val="22"/>
          <w:lang w:eastAsia="it-IT"/>
          <w14:ligatures w14:val="none"/>
        </w:rPr>
        <w:t>: i soggetti del Terzo Settore che contribuiscono al progetto attraverso competenze tecniche specialistiche e progetti tematici mirati;</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Utilizzatori</w:t>
      </w:r>
      <w:r w:rsidRPr="00FE4A5B">
        <w:rPr>
          <w:rFonts w:ascii="Times New Roman" w:eastAsia="Times New Roman" w:hAnsi="Times New Roman" w:cs="Times New Roman"/>
          <w:kern w:val="0"/>
          <w:sz w:val="22"/>
          <w:szCs w:val="22"/>
          <w:lang w:eastAsia="it-IT"/>
          <w14:ligatures w14:val="none"/>
        </w:rPr>
        <w:t>: le associazioni, i gruppi informali e i cittadini attivi che animano lo spazio attraverso iniziative e attività specifiche;</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Progetto Definitivo</w:t>
      </w:r>
      <w:r w:rsidRPr="00FE4A5B">
        <w:rPr>
          <w:rFonts w:ascii="Times New Roman" w:eastAsia="Times New Roman" w:hAnsi="Times New Roman" w:cs="Times New Roman"/>
          <w:kern w:val="0"/>
          <w:sz w:val="22"/>
          <w:szCs w:val="22"/>
          <w:lang w:eastAsia="it-IT"/>
          <w14:ligatures w14:val="none"/>
        </w:rPr>
        <w:t>: il progetto definitivo di gestione partecipativa in esito ai tavoli di co-progettazione e approvato dall'Amministrazione procedente, che costituisce allegato alla presente convenzione;</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Co-progettazione</w:t>
      </w:r>
      <w:r w:rsidRPr="00FE4A5B">
        <w:rPr>
          <w:rFonts w:ascii="Times New Roman" w:eastAsia="Times New Roman" w:hAnsi="Times New Roman" w:cs="Times New Roman"/>
          <w:kern w:val="0"/>
          <w:sz w:val="22"/>
          <w:szCs w:val="22"/>
          <w:lang w:eastAsia="it-IT"/>
          <w14:ligatures w14:val="none"/>
        </w:rPr>
        <w:t>: definizione congiunta, partecipata e condivisa della progettazione degli interventi e dei servizi fra la P.A. e gli ETS ammessi ai tavoli e al convenzionamento;</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Tavolo di co-progettazione</w:t>
      </w:r>
      <w:r w:rsidRPr="00FE4A5B">
        <w:rPr>
          <w:rFonts w:ascii="Times New Roman" w:eastAsia="Times New Roman" w:hAnsi="Times New Roman" w:cs="Times New Roman"/>
          <w:kern w:val="0"/>
          <w:sz w:val="22"/>
          <w:szCs w:val="22"/>
          <w:lang w:eastAsia="it-IT"/>
          <w14:ligatures w14:val="none"/>
        </w:rPr>
        <w:t>: sede preposta allo svolgimento dell'attività di co-progettazione per l'implementazione del modello di gestione partecipativa;</w:t>
      </w:r>
    </w:p>
    <w:p w:rsidR="00FE4A5B" w:rsidRPr="00FE4A5B" w:rsidRDefault="00FE4A5B" w:rsidP="00FE4A5B">
      <w:pPr>
        <w:numPr>
          <w:ilvl w:val="0"/>
          <w:numId w:val="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Responsabile del procedimento</w:t>
      </w:r>
      <w:r w:rsidRPr="00FE4A5B">
        <w:rPr>
          <w:rFonts w:ascii="Times New Roman" w:eastAsia="Times New Roman" w:hAnsi="Times New Roman" w:cs="Times New Roman"/>
          <w:kern w:val="0"/>
          <w:sz w:val="22"/>
          <w:szCs w:val="22"/>
          <w:lang w:eastAsia="it-IT"/>
          <w14:ligatures w14:val="none"/>
        </w:rPr>
        <w:t>: il soggetto indicato dall'Amministrazione procedente ai sensi della legge n. 241/1990 e ss.mm.;</w:t>
      </w:r>
    </w:p>
    <w:p w:rsid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lastRenderedPageBreak/>
        <w:t>PREMESSE</w:t>
      </w:r>
    </w:p>
    <w:p w:rsidR="00FE4A5B" w:rsidRDefault="00FE4A5B" w:rsidP="00FE4A5B">
      <w:pPr>
        <w:spacing w:after="0" w:line="240" w:lineRule="auto"/>
        <w:rPr>
          <w:rFonts w:ascii="Times New Roman" w:eastAsia="Times New Roman" w:hAnsi="Times New Roman" w:cs="Times New Roman"/>
          <w:b/>
          <w:bCs/>
          <w:kern w:val="0"/>
          <w:sz w:val="22"/>
          <w:szCs w:val="22"/>
          <w:lang w:eastAsia="it-IT"/>
          <w14:ligatures w14:val="none"/>
        </w:rPr>
      </w:pP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VISTI:</w:t>
      </w:r>
    </w:p>
    <w:p w:rsidR="00FE4A5B" w:rsidRPr="00FE4A5B" w:rsidRDefault="00FE4A5B" w:rsidP="00FE4A5B">
      <w:pPr>
        <w:numPr>
          <w:ilvl w:val="0"/>
          <w:numId w:val="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 strategia di rivitalizzazione del centro cittadino realizzata con la ristrutturazione dell'ex maglieria Delfino, finanziata con contributo regionale di euro 790.000,00 nell'ambito del Bando Rigenerazione Urbana 2021;</w:t>
      </w:r>
    </w:p>
    <w:p w:rsidR="00FE4A5B" w:rsidRPr="00FE4A5B" w:rsidRDefault="00FE4A5B" w:rsidP="00FE4A5B">
      <w:pPr>
        <w:numPr>
          <w:ilvl w:val="0"/>
          <w:numId w:val="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processo partecipativo del 2024, condotto ai sensi della L.R. Emilia-Romagna n. 15/2018;</w:t>
      </w:r>
    </w:p>
    <w:p w:rsidR="00FE4A5B" w:rsidRPr="00FE4A5B" w:rsidRDefault="00FE4A5B" w:rsidP="00FE4A5B">
      <w:pPr>
        <w:numPr>
          <w:ilvl w:val="0"/>
          <w:numId w:val="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Linee Guida contenute nel Documento di Proposta Partecipata, validato dal Tecnico di Garanzia Regionale con protocollo n. 30/12/</w:t>
      </w:r>
      <w:proofErr w:type="gramStart"/>
      <w:r w:rsidRPr="00FE4A5B">
        <w:rPr>
          <w:rFonts w:ascii="Times New Roman" w:eastAsia="Times New Roman" w:hAnsi="Times New Roman" w:cs="Times New Roman"/>
          <w:kern w:val="0"/>
          <w:sz w:val="22"/>
          <w:szCs w:val="22"/>
          <w:lang w:eastAsia="it-IT"/>
          <w14:ligatures w14:val="none"/>
        </w:rPr>
        <w:t>2024.0032972.U</w:t>
      </w:r>
      <w:proofErr w:type="gramEnd"/>
      <w:r w:rsidRPr="00FE4A5B">
        <w:rPr>
          <w:rFonts w:ascii="Times New Roman" w:eastAsia="Times New Roman" w:hAnsi="Times New Roman" w:cs="Times New Roman"/>
          <w:kern w:val="0"/>
          <w:sz w:val="22"/>
          <w:szCs w:val="22"/>
          <w:lang w:eastAsia="it-IT"/>
          <w14:ligatures w14:val="none"/>
        </w:rPr>
        <w:t>;</w:t>
      </w:r>
    </w:p>
    <w:p w:rsidR="00FE4A5B" w:rsidRPr="00FE4A5B" w:rsidRDefault="00FE4A5B" w:rsidP="00FE4A5B">
      <w:pPr>
        <w:numPr>
          <w:ilvl w:val="0"/>
          <w:numId w:val="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l'Avviso pubblico approvato con Determina n. [•] del [•];</w:t>
      </w:r>
    </w:p>
    <w:p w:rsidR="00FE4A5B" w:rsidRPr="00FE4A5B" w:rsidRDefault="00FE4A5B" w:rsidP="00FE4A5B">
      <w:pPr>
        <w:numPr>
          <w:ilvl w:val="0"/>
          <w:numId w:val="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 verbali dei tavoli di co-progettazione;</w:t>
      </w:r>
    </w:p>
    <w:p w:rsidR="00FE4A5B" w:rsidRPr="00FE4A5B" w:rsidRDefault="00FE4A5B" w:rsidP="00FE4A5B">
      <w:pPr>
        <w:numPr>
          <w:ilvl w:val="0"/>
          <w:numId w:val="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 Determina n. [•] del [•] di approvazione del Progetto Definitivo;</w:t>
      </w:r>
    </w:p>
    <w:p w:rsidR="00FE4A5B" w:rsidRDefault="00FE4A5B" w:rsidP="00FE4A5B">
      <w:pPr>
        <w:spacing w:after="0" w:line="240" w:lineRule="auto"/>
        <w:rPr>
          <w:rFonts w:ascii="Times New Roman" w:eastAsia="Times New Roman" w:hAnsi="Times New Roman" w:cs="Times New Roman"/>
          <w:b/>
          <w:bCs/>
          <w:kern w:val="0"/>
          <w:sz w:val="22"/>
          <w:szCs w:val="22"/>
          <w:lang w:eastAsia="it-IT"/>
          <w14:ligatures w14:val="none"/>
        </w:rPr>
      </w:pP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CONSIDERATO CHE:</w:t>
      </w:r>
    </w:p>
    <w:p w:rsidR="00FE4A5B" w:rsidRPr="00FE4A5B" w:rsidRDefault="00FE4A5B" w:rsidP="00FE4A5B">
      <w:pPr>
        <w:numPr>
          <w:ilvl w:val="0"/>
          <w:numId w:val="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centro polifunzionale "Nuovo Delfino" costituisce un'infrastruttura sociale strategica per la coesione sociale e l'innovazione civica;</w:t>
      </w:r>
    </w:p>
    <w:p w:rsidR="00FE4A5B" w:rsidRPr="00FE4A5B" w:rsidRDefault="00FE4A5B" w:rsidP="00FE4A5B">
      <w:pPr>
        <w:numPr>
          <w:ilvl w:val="0"/>
          <w:numId w:val="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modello di gestione partecipativa mira al superamento delle logiche tradizionali per costruire un partenariato collaborativo;</w:t>
      </w:r>
    </w:p>
    <w:p w:rsidR="00FE4A5B" w:rsidRPr="00FE4A5B" w:rsidRDefault="00FE4A5B" w:rsidP="00FE4A5B">
      <w:pPr>
        <w:numPr>
          <w:ilvl w:val="0"/>
          <w:numId w:val="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l'obiettivo è favorire il protagonismo civico e la responsabilizzazione progressiva della comunità;</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1 - OGGETTO DELLA CONVENZIONE E ATTIVITÀ</w:t>
      </w:r>
    </w:p>
    <w:p w:rsidR="00FE4A5B" w:rsidRPr="00FE4A5B" w:rsidRDefault="00FE4A5B" w:rsidP="00FE4A5B">
      <w:pPr>
        <w:numPr>
          <w:ilvl w:val="0"/>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 presente convenzione ha per oggetto la realizzazione del modello di gestione partecipativa del centro polifunzionale "Nuovo Delfino" sito in Rio Saliceto, via Roma n. 18, secondo quanto definito nel Progetto Definitivo (Allegato 1).</w:t>
      </w:r>
    </w:p>
    <w:p w:rsidR="00FE4A5B" w:rsidRPr="00FE4A5B" w:rsidRDefault="00FE4A5B" w:rsidP="00FE4A5B">
      <w:pPr>
        <w:numPr>
          <w:ilvl w:val="0"/>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attività oggetto della convenzione sono finalizzate a:</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implementare il modello di gestione partecipativa secondo le Linee Guida;</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trasformare il centro in un'infrastruttura sociale strategica per la coesione sociale;</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favorire il protagonismo civico e l'innovazione civica;</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garantire sostenibilità economica e sociale nel lungo periodo;</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 xml:space="preserve">realizzare i principi di convivialità, </w:t>
      </w:r>
      <w:proofErr w:type="spellStart"/>
      <w:r w:rsidRPr="00FE4A5B">
        <w:rPr>
          <w:rFonts w:ascii="Times New Roman" w:eastAsia="Times New Roman" w:hAnsi="Times New Roman" w:cs="Times New Roman"/>
          <w:kern w:val="0"/>
          <w:sz w:val="22"/>
          <w:szCs w:val="22"/>
          <w:lang w:eastAsia="it-IT"/>
          <w14:ligatures w14:val="none"/>
        </w:rPr>
        <w:t>intergenerazionalità</w:t>
      </w:r>
      <w:proofErr w:type="spellEnd"/>
      <w:r w:rsidRPr="00FE4A5B">
        <w:rPr>
          <w:rFonts w:ascii="Times New Roman" w:eastAsia="Times New Roman" w:hAnsi="Times New Roman" w:cs="Times New Roman"/>
          <w:kern w:val="0"/>
          <w:sz w:val="22"/>
          <w:szCs w:val="22"/>
          <w:lang w:eastAsia="it-IT"/>
          <w14:ligatures w14:val="none"/>
        </w:rPr>
        <w:t>, multiculturalità, accessibilità, sostenibilità e cooperazione.</w:t>
      </w:r>
    </w:p>
    <w:p w:rsidR="00FE4A5B" w:rsidRPr="00FE4A5B" w:rsidRDefault="00FE4A5B" w:rsidP="00FE4A5B">
      <w:pPr>
        <w:numPr>
          <w:ilvl w:val="0"/>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si impegna a implementare il modello operativo attraverso:</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 xml:space="preserve">il </w:t>
      </w:r>
      <w:r w:rsidRPr="00FE4A5B">
        <w:rPr>
          <w:rFonts w:ascii="Times New Roman" w:eastAsia="Times New Roman" w:hAnsi="Times New Roman" w:cs="Times New Roman"/>
          <w:b/>
          <w:bCs/>
          <w:kern w:val="0"/>
          <w:sz w:val="22"/>
          <w:szCs w:val="22"/>
          <w:lang w:eastAsia="it-IT"/>
          <w14:ligatures w14:val="none"/>
        </w:rPr>
        <w:t>regolamento di gestione</w:t>
      </w:r>
      <w:r w:rsidRPr="00FE4A5B">
        <w:rPr>
          <w:rFonts w:ascii="Times New Roman" w:eastAsia="Times New Roman" w:hAnsi="Times New Roman" w:cs="Times New Roman"/>
          <w:kern w:val="0"/>
          <w:sz w:val="22"/>
          <w:szCs w:val="22"/>
          <w:lang w:eastAsia="it-IT"/>
          <w14:ligatures w14:val="none"/>
        </w:rPr>
        <w:t xml:space="preserve"> che disciplina la governance multilivello;</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 xml:space="preserve">il </w:t>
      </w:r>
      <w:r w:rsidRPr="00FE4A5B">
        <w:rPr>
          <w:rFonts w:ascii="Times New Roman" w:eastAsia="Times New Roman" w:hAnsi="Times New Roman" w:cs="Times New Roman"/>
          <w:b/>
          <w:bCs/>
          <w:kern w:val="0"/>
          <w:sz w:val="22"/>
          <w:szCs w:val="22"/>
          <w:lang w:eastAsia="it-IT"/>
          <w14:ligatures w14:val="none"/>
        </w:rPr>
        <w:t>palinsesto di comunità</w:t>
      </w:r>
      <w:r w:rsidRPr="00FE4A5B">
        <w:rPr>
          <w:rFonts w:ascii="Times New Roman" w:eastAsia="Times New Roman" w:hAnsi="Times New Roman" w:cs="Times New Roman"/>
          <w:kern w:val="0"/>
          <w:sz w:val="22"/>
          <w:szCs w:val="22"/>
          <w:lang w:eastAsia="it-IT"/>
          <w14:ligatures w14:val="none"/>
        </w:rPr>
        <w:t xml:space="preserve"> per la programmazione delle attività;</w:t>
      </w:r>
    </w:p>
    <w:p w:rsidR="00FE4A5B" w:rsidRPr="00FE4A5B" w:rsidRDefault="00FE4A5B" w:rsidP="00FE4A5B">
      <w:pPr>
        <w:numPr>
          <w:ilvl w:val="1"/>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 xml:space="preserve">il </w:t>
      </w:r>
      <w:r w:rsidRPr="00FE4A5B">
        <w:rPr>
          <w:rFonts w:ascii="Times New Roman" w:eastAsia="Times New Roman" w:hAnsi="Times New Roman" w:cs="Times New Roman"/>
          <w:b/>
          <w:bCs/>
          <w:kern w:val="0"/>
          <w:sz w:val="22"/>
          <w:szCs w:val="22"/>
          <w:lang w:eastAsia="it-IT"/>
          <w14:ligatures w14:val="none"/>
        </w:rPr>
        <w:t>sistema di sostenibilità economica</w:t>
      </w:r>
      <w:r w:rsidRPr="00FE4A5B">
        <w:rPr>
          <w:rFonts w:ascii="Times New Roman" w:eastAsia="Times New Roman" w:hAnsi="Times New Roman" w:cs="Times New Roman"/>
          <w:kern w:val="0"/>
          <w:sz w:val="22"/>
          <w:szCs w:val="22"/>
          <w:lang w:eastAsia="it-IT"/>
          <w14:ligatures w14:val="none"/>
        </w:rPr>
        <w:t xml:space="preserve"> basato sul modello di affiliazione.</w:t>
      </w:r>
    </w:p>
    <w:p w:rsidR="00FE4A5B" w:rsidRPr="00FE4A5B" w:rsidRDefault="00FE4A5B" w:rsidP="00FE4A5B">
      <w:pPr>
        <w:numPr>
          <w:ilvl w:val="0"/>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È ammessa la modifica delle attività purché vengano conservate le caratteristiche fondamentali del Progetto Definitivo e non si alterino gli obiettivi delle Linee Guida.</w:t>
      </w:r>
    </w:p>
    <w:p w:rsidR="00FE4A5B" w:rsidRPr="00FE4A5B" w:rsidRDefault="00FE4A5B" w:rsidP="00FE4A5B">
      <w:pPr>
        <w:numPr>
          <w:ilvl w:val="0"/>
          <w:numId w:val="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È ammesso l'ingresso di altri ETS nel partenariato, purché in possesso dei requisiti previsti e previa approvazione dell'Amministrazione comunale.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2 - DURATA DELLA CONVENZIONE</w:t>
      </w:r>
    </w:p>
    <w:p w:rsidR="00FE4A5B" w:rsidRPr="00FE4A5B" w:rsidRDefault="00FE4A5B" w:rsidP="00FE4A5B">
      <w:pPr>
        <w:numPr>
          <w:ilvl w:val="0"/>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 presente convenzione ha durata massima di quindici anni, articolata in tre fasi progressive:</w:t>
      </w:r>
    </w:p>
    <w:p w:rsidR="00FE4A5B" w:rsidRPr="00FE4A5B" w:rsidRDefault="00FE4A5B" w:rsidP="00FE4A5B">
      <w:pPr>
        <w:numPr>
          <w:ilvl w:val="1"/>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Fase pilota</w:t>
      </w:r>
      <w:r w:rsidRPr="00FE4A5B">
        <w:rPr>
          <w:rFonts w:ascii="Times New Roman" w:eastAsia="Times New Roman" w:hAnsi="Times New Roman" w:cs="Times New Roman"/>
          <w:kern w:val="0"/>
          <w:sz w:val="22"/>
          <w:szCs w:val="22"/>
          <w:lang w:eastAsia="it-IT"/>
          <w14:ligatures w14:val="none"/>
        </w:rPr>
        <w:t>: 12-24 mesi di sperimentazione e avvio;</w:t>
      </w:r>
    </w:p>
    <w:p w:rsidR="00FE4A5B" w:rsidRPr="00FE4A5B" w:rsidRDefault="00FE4A5B" w:rsidP="00FE4A5B">
      <w:pPr>
        <w:numPr>
          <w:ilvl w:val="1"/>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Fase di consolidamento</w:t>
      </w:r>
      <w:r w:rsidRPr="00FE4A5B">
        <w:rPr>
          <w:rFonts w:ascii="Times New Roman" w:eastAsia="Times New Roman" w:hAnsi="Times New Roman" w:cs="Times New Roman"/>
          <w:kern w:val="0"/>
          <w:sz w:val="22"/>
          <w:szCs w:val="22"/>
          <w:lang w:eastAsia="it-IT"/>
          <w14:ligatures w14:val="none"/>
        </w:rPr>
        <w:t>: 5 anni di stabilizzazione;</w:t>
      </w:r>
    </w:p>
    <w:p w:rsidR="00FE4A5B" w:rsidRPr="00FE4A5B" w:rsidRDefault="00FE4A5B" w:rsidP="00FE4A5B">
      <w:pPr>
        <w:numPr>
          <w:ilvl w:val="1"/>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Fase evolutiva</w:t>
      </w:r>
      <w:r w:rsidRPr="00FE4A5B">
        <w:rPr>
          <w:rFonts w:ascii="Times New Roman" w:eastAsia="Times New Roman" w:hAnsi="Times New Roman" w:cs="Times New Roman"/>
          <w:kern w:val="0"/>
          <w:sz w:val="22"/>
          <w:szCs w:val="22"/>
          <w:lang w:eastAsia="it-IT"/>
          <w14:ligatures w14:val="none"/>
        </w:rPr>
        <w:t>: 5-8 anni di piena autonomia operativa.</w:t>
      </w:r>
    </w:p>
    <w:p w:rsidR="00FE4A5B" w:rsidRPr="00FE4A5B" w:rsidRDefault="00FE4A5B" w:rsidP="00FE4A5B">
      <w:pPr>
        <w:numPr>
          <w:ilvl w:val="0"/>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passaggio tra le fasi è determinato dagli esiti del monitoraggio dell'impatto sociale ed economico secondo criteri condivisi definiti nella convenzione.</w:t>
      </w:r>
    </w:p>
    <w:p w:rsidR="00FE4A5B" w:rsidRPr="00FE4A5B" w:rsidRDefault="00FE4A5B" w:rsidP="00FE4A5B">
      <w:pPr>
        <w:numPr>
          <w:ilvl w:val="0"/>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Al termine di ciascuna fase, l'Amministrazione comunale effettuerà una verifica sul raggiungimento degli obiettivi e sulla sostenibilità del progetto.</w:t>
      </w:r>
    </w:p>
    <w:p w:rsidR="00FE4A5B" w:rsidRPr="00FE4A5B" w:rsidRDefault="00FE4A5B" w:rsidP="00FE4A5B">
      <w:pPr>
        <w:numPr>
          <w:ilvl w:val="0"/>
          <w:numId w:val="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 convenzione potrà essere rinnovata previa valutazione positiva e disponibilità delle risorse necessarie.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3 - RAPPORTI TRA LE PARTI - PARTENARIATO</w:t>
      </w:r>
    </w:p>
    <w:p w:rsidR="00FE4A5B" w:rsidRPr="00FE4A5B" w:rsidRDefault="00FE4A5B" w:rsidP="00FE4A5B">
      <w:pPr>
        <w:numPr>
          <w:ilvl w:val="0"/>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attività si configurano in un rapporto di partenariato fondato sui principi di sussidiarietà, trasparenza, partecipazione e sostegno dell'impegno privato nella funzione sociale.</w:t>
      </w:r>
    </w:p>
    <w:p w:rsidR="00FE4A5B" w:rsidRPr="00FE4A5B" w:rsidRDefault="00FE4A5B" w:rsidP="00FE4A5B">
      <w:pPr>
        <w:numPr>
          <w:ilvl w:val="0"/>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L'assenza dello scopo di lucro deve essere garantita in tutte le attività promosse dall'EAP.</w:t>
      </w:r>
    </w:p>
    <w:p w:rsidR="00FE4A5B" w:rsidRPr="00FE4A5B" w:rsidRDefault="00FE4A5B" w:rsidP="00FE4A5B">
      <w:pPr>
        <w:numPr>
          <w:ilvl w:val="0"/>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lastRenderedPageBreak/>
        <w:t>Durante il convenzionamento è ammessa la sostituzione di ETS previa approvazione dell'Amministrazione, purché non si determini diminuzione della qualità progettuale.</w:t>
      </w:r>
    </w:p>
    <w:p w:rsidR="00FE4A5B" w:rsidRPr="00FE4A5B" w:rsidRDefault="00FE4A5B" w:rsidP="00FE4A5B">
      <w:pPr>
        <w:numPr>
          <w:ilvl w:val="0"/>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Parti si impegnano a mantenere attivo il percorso di co-progettazione attraverso:</w:t>
      </w:r>
    </w:p>
    <w:p w:rsidR="00FE4A5B" w:rsidRPr="00FE4A5B" w:rsidRDefault="00FE4A5B" w:rsidP="00FE4A5B">
      <w:pPr>
        <w:numPr>
          <w:ilvl w:val="1"/>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verifiche periodiche almeno trimestrali;</w:t>
      </w:r>
    </w:p>
    <w:p w:rsidR="00FE4A5B" w:rsidRPr="00FE4A5B" w:rsidRDefault="00FE4A5B" w:rsidP="00FE4A5B">
      <w:pPr>
        <w:numPr>
          <w:ilvl w:val="1"/>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incontri di coordinamento e programmazione;</w:t>
      </w:r>
    </w:p>
    <w:p w:rsidR="00FE4A5B" w:rsidRPr="00FE4A5B" w:rsidRDefault="00FE4A5B" w:rsidP="00FE4A5B">
      <w:pPr>
        <w:numPr>
          <w:ilvl w:val="1"/>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partecipazione agli organi di coordinamento previsti dalle Linee Guida.</w:t>
      </w:r>
    </w:p>
    <w:p w:rsidR="00FE4A5B" w:rsidRPr="00FE4A5B" w:rsidRDefault="00FE4A5B" w:rsidP="00FE4A5B">
      <w:pPr>
        <w:numPr>
          <w:ilvl w:val="0"/>
          <w:numId w:val="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La co-progettazione può essere riattivata mediante comunicazione del Responsabile del procedimento, notificata tramite PEC almeno 15 giorni prima.</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4 - CONTENUTI MINIMI DELLA GESTIONE E CRONOPROGRAMMA</w:t>
      </w:r>
    </w:p>
    <w:p w:rsidR="00FE4A5B" w:rsidRPr="00FE4A5B" w:rsidRDefault="00FE4A5B" w:rsidP="00FE4A5B">
      <w:pPr>
        <w:numPr>
          <w:ilvl w:val="0"/>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deve garantire l'implementazione del modello di gestione partecipativa attraverso:</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 Organi di coordinamento</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Cabina di Regia (coordinamento strategico)</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Consulta di Partecipazione (coinvolgimento comunità)</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Assemblea dell'Impatto Comune (valutazione risultati)</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B) Sistema di affiliazione</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Affiliazione standard (contributi economici)</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Affiliazione civica (impegno funzionale)</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Partecipazione trasversale degli Utilizzatori</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C) Palinsesto di attività</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Attività continuative di aggregazione sociale</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Eventi e iniziative speciali</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Servizi per la comunità locale</w:t>
      </w:r>
    </w:p>
    <w:p w:rsidR="00FE4A5B" w:rsidRPr="00FE4A5B" w:rsidRDefault="00FE4A5B" w:rsidP="00FE4A5B">
      <w:pPr>
        <w:numPr>
          <w:ilvl w:val="1"/>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Progetti di innovazione civica</w:t>
      </w:r>
    </w:p>
    <w:p w:rsidR="00FE4A5B" w:rsidRPr="00FE4A5B" w:rsidRDefault="00FE4A5B" w:rsidP="00FE4A5B">
      <w:pPr>
        <w:numPr>
          <w:ilvl w:val="0"/>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Tutte le attività devono rispettare i principi orientativi delle Linee Guida e garantire accessibilità a tutte le componenti della comunità.</w:t>
      </w:r>
    </w:p>
    <w:p w:rsidR="00FE4A5B" w:rsidRPr="00FE4A5B" w:rsidRDefault="00FE4A5B" w:rsidP="00FE4A5B">
      <w:pPr>
        <w:numPr>
          <w:ilvl w:val="0"/>
          <w:numId w:val="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cronoprogramma dettagliato è definito nel Progetto Definitivo allegato.</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5 - RISORSE MESSE A DISPOSIZIONE DALLE PARTI</w:t>
      </w:r>
    </w:p>
    <w:p w:rsidR="00FE4A5B" w:rsidRPr="00FE4A5B" w:rsidRDefault="00FE4A5B" w:rsidP="00FE4A5B">
      <w:pPr>
        <w:numPr>
          <w:ilvl w:val="0"/>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Il Comune di Rio Saliceto mette a disposizione:</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 Risorse strutturali: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l'immobile del centro polifunzionale "Nuovo Delfino" sito in via Roma n. 18;</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dotazioni e attrezzature presenti nell'immobile;</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B) Supporto economico differenziato per fasi: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Fase pilota</w:t>
      </w:r>
      <w:r w:rsidRPr="00FE4A5B">
        <w:rPr>
          <w:rFonts w:ascii="Times New Roman" w:eastAsia="Times New Roman" w:hAnsi="Times New Roman" w:cs="Times New Roman"/>
          <w:kern w:val="0"/>
          <w:sz w:val="22"/>
          <w:szCs w:val="22"/>
          <w:lang w:eastAsia="it-IT"/>
          <w14:ligatures w14:val="none"/>
        </w:rPr>
        <w:t>: esenzione canone, contributi per utenze e attività sperimentali, supporto tecnico-amministrativo;</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Fase consolidamento</w:t>
      </w:r>
      <w:r w:rsidRPr="00FE4A5B">
        <w:rPr>
          <w:rFonts w:ascii="Times New Roman" w:eastAsia="Times New Roman" w:hAnsi="Times New Roman" w:cs="Times New Roman"/>
          <w:kern w:val="0"/>
          <w:sz w:val="22"/>
          <w:szCs w:val="22"/>
          <w:lang w:eastAsia="it-IT"/>
          <w14:ligatures w14:val="none"/>
        </w:rPr>
        <w:t>: canone calmierato, collaborazione nel monitoraggio, supporto consulenziale;</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Fase evolutiva</w:t>
      </w:r>
      <w:r w:rsidRPr="00FE4A5B">
        <w:rPr>
          <w:rFonts w:ascii="Times New Roman" w:eastAsia="Times New Roman" w:hAnsi="Times New Roman" w:cs="Times New Roman"/>
          <w:kern w:val="0"/>
          <w:sz w:val="22"/>
          <w:szCs w:val="22"/>
          <w:lang w:eastAsia="it-IT"/>
          <w14:ligatures w14:val="none"/>
        </w:rPr>
        <w:t>: canone sostenibile, supporto per progetti strategici;</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C) Servizi e supporto:</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supporto nella partecipazione a bandi;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promozione istituzionale delle iniziative;</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facilitazione relazioni con altri enti;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partecipazione attiva nella Cabina di Regia.</w:t>
      </w:r>
    </w:p>
    <w:p w:rsidR="00FE4A5B" w:rsidRPr="00FE4A5B" w:rsidRDefault="00FE4A5B" w:rsidP="00FE4A5B">
      <w:pPr>
        <w:numPr>
          <w:ilvl w:val="0"/>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L'EAP mette a disposizione:</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 Risorse umane qualificate per:</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coordinamento operativo del centro;</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gestione delle relazioni con Partner e Utilizzatori;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sviluppo delle reti territoriali;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implementazione del sistema di affiliazione;</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B) Competenze specialistiche in:</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facilitazione di processi partecipativi;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attivazione della comunità locale;</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gestione economica sostenibile;</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comunicazione e animazione territoriale;</w:t>
      </w:r>
    </w:p>
    <w:p w:rsidR="00FE4A5B" w:rsidRPr="00FE4A5B" w:rsidRDefault="00FE4A5B" w:rsidP="00FE4A5B">
      <w:pPr>
        <w:spacing w:after="0" w:line="240" w:lineRule="auto"/>
        <w:ind w:left="720"/>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C) Impegno per la sostenibilità:</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lastRenderedPageBreak/>
        <w:t>sviluppo progressivo dell'autofinanziamento;</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diversificazione delle fonti di entrata;</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partecipazione a bandi e progetti;</w:t>
      </w:r>
    </w:p>
    <w:p w:rsidR="00FE4A5B" w:rsidRPr="00FE4A5B" w:rsidRDefault="00FE4A5B" w:rsidP="00FE4A5B">
      <w:pPr>
        <w:numPr>
          <w:ilvl w:val="1"/>
          <w:numId w:val="1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attività di fundraising.</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6 - MODALITÀ DI SUPPORTO DELL'AMMINISTRAZIONE</w:t>
      </w:r>
    </w:p>
    <w:p w:rsidR="00FE4A5B" w:rsidRPr="00FE4A5B" w:rsidRDefault="00FE4A5B" w:rsidP="00FE4A5B">
      <w:pPr>
        <w:numPr>
          <w:ilvl w:val="0"/>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Supporto nella fase pilota (12-24 mesi):</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esenzione dal canone di locazione;</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contributi parziali per utenze e attività innovative;</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supporto tecnico-amministrativo per bandi;</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accompagnamento formativo per competenze gestionali;</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facilitazione relazioni istituzionali.</w:t>
      </w:r>
    </w:p>
    <w:p w:rsidR="00FE4A5B" w:rsidRPr="00FE4A5B" w:rsidRDefault="00FE4A5B" w:rsidP="00FE4A5B">
      <w:pPr>
        <w:numPr>
          <w:ilvl w:val="0"/>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Supporto nella fase di consolidamento (5 anni):</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canone calmierato significativamente inferiore ai valori di mercato;</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collaborazione nel monitoraggio e valutazione impatto;</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supporto consulenziale per finanziamenti esterni;</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partecipazione nella Cabina di Regia con frequenza ridotta.</w:t>
      </w:r>
    </w:p>
    <w:p w:rsidR="00FE4A5B" w:rsidRPr="00FE4A5B" w:rsidRDefault="00FE4A5B" w:rsidP="00FE4A5B">
      <w:pPr>
        <w:numPr>
          <w:ilvl w:val="0"/>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Supporto nella fase evolutiva (5-8 anni):</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canone sostenibile che riconosca il valore sociale;</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supporto per progetti strategici di rilevanza pubblica;</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promozione istituzionale del centro;</w:t>
      </w:r>
    </w:p>
    <w:p w:rsidR="00FE4A5B" w:rsidRPr="00FE4A5B" w:rsidRDefault="00FE4A5B" w:rsidP="00FE4A5B">
      <w:pPr>
        <w:numPr>
          <w:ilvl w:val="1"/>
          <w:numId w:val="1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valutazione congiunta di possibili investimenti.</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7 - OBBLIGHI DELL'EAP</w:t>
      </w:r>
    </w:p>
    <w:p w:rsidR="00FE4A5B" w:rsidRPr="00FE4A5B" w:rsidRDefault="00FE4A5B" w:rsidP="00FE4A5B">
      <w:pPr>
        <w:numPr>
          <w:ilvl w:val="0"/>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si impegna a:</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implementare il modello di gestione partecipativa secondo le Linee Guida;</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garantire il funzionamento degli organi di coordinamento;</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sviluppare e gestire il sistema di affiliazione;</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assicurare accessibilità e inclusività delle attività;</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mantenere coordinamento con Utilizzatori e Partner;</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rispettare tutti gli obblighi amministrativi, assicurativi e di sicurezza;</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comunicare tempestivamente criticità e problematiche;</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partecipare attivamente alle verifiche periodiche;</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realizzare attività di monitoraggio e valutazione dell'impatto.</w:t>
      </w:r>
    </w:p>
    <w:p w:rsidR="00FE4A5B" w:rsidRPr="00FE4A5B" w:rsidRDefault="00FE4A5B" w:rsidP="00FE4A5B">
      <w:pPr>
        <w:numPr>
          <w:ilvl w:val="0"/>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deve garantire:</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rispetto dei principi di imparzialità e trasparenza;</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conformità alle norme su sicurezza e tutela della salute;</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protezione dei dati personali secondo GDPR;</w:t>
      </w:r>
    </w:p>
    <w:p w:rsidR="00FE4A5B" w:rsidRPr="00FE4A5B" w:rsidRDefault="00FE4A5B" w:rsidP="00FE4A5B">
      <w:pPr>
        <w:numPr>
          <w:ilvl w:val="1"/>
          <w:numId w:val="12"/>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parità di trattamento e accessibilità per tutti i cittadini.</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8 - RISORSE UMANE ADIBITE ALLE ATTIVITÀ</w:t>
      </w:r>
    </w:p>
    <w:p w:rsidR="00FE4A5B" w:rsidRPr="00FE4A5B" w:rsidRDefault="00FE4A5B" w:rsidP="00FE4A5B">
      <w:pPr>
        <w:numPr>
          <w:ilvl w:val="0"/>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dedica alle attività risorse umane adeguate con competenze in:</w:t>
      </w:r>
    </w:p>
    <w:p w:rsidR="00FE4A5B" w:rsidRPr="00FE4A5B" w:rsidRDefault="00FE4A5B" w:rsidP="00FE4A5B">
      <w:pPr>
        <w:numPr>
          <w:ilvl w:val="1"/>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gestione di spazi comunitari e processi partecipativi;</w:t>
      </w:r>
    </w:p>
    <w:p w:rsidR="00FE4A5B" w:rsidRPr="00FE4A5B" w:rsidRDefault="00FE4A5B" w:rsidP="00FE4A5B">
      <w:pPr>
        <w:numPr>
          <w:ilvl w:val="1"/>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coordinamento operativo e sviluppo di reti territoriali;</w:t>
      </w:r>
    </w:p>
    <w:p w:rsidR="00FE4A5B" w:rsidRPr="00FE4A5B" w:rsidRDefault="00FE4A5B" w:rsidP="00FE4A5B">
      <w:pPr>
        <w:numPr>
          <w:ilvl w:val="1"/>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comunicazione e animazione sociale;</w:t>
      </w:r>
    </w:p>
    <w:p w:rsidR="00FE4A5B" w:rsidRPr="00FE4A5B" w:rsidRDefault="00FE4A5B" w:rsidP="00FE4A5B">
      <w:pPr>
        <w:numPr>
          <w:ilvl w:val="1"/>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amministrazione e gestione economica;</w:t>
      </w:r>
    </w:p>
    <w:p w:rsidR="00FE4A5B" w:rsidRPr="00FE4A5B" w:rsidRDefault="00FE4A5B" w:rsidP="00FE4A5B">
      <w:pPr>
        <w:numPr>
          <w:ilvl w:val="1"/>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facilitazione e mediazione sociale.</w:t>
      </w:r>
    </w:p>
    <w:p w:rsidR="00FE4A5B" w:rsidRPr="00FE4A5B" w:rsidRDefault="00FE4A5B" w:rsidP="00FE4A5B">
      <w:pPr>
        <w:numPr>
          <w:ilvl w:val="0"/>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garantisce rispetto degli standard di trattamento salariale, degli obblighi previdenziali e delle disposizioni su sicurezza sul lavoro.</w:t>
      </w:r>
    </w:p>
    <w:p w:rsidR="00FE4A5B" w:rsidRPr="00FE4A5B" w:rsidRDefault="00FE4A5B" w:rsidP="00FE4A5B">
      <w:pPr>
        <w:numPr>
          <w:ilvl w:val="0"/>
          <w:numId w:val="13"/>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assicura modalità organizzative idonee attraverso programmazione, coordinamento, formazione continua e partecipazione a verifiche.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9 - ASSICURAZIONI</w:t>
      </w:r>
    </w:p>
    <w:p w:rsidR="00FE4A5B" w:rsidRPr="00FE4A5B" w:rsidRDefault="00FE4A5B" w:rsidP="00FE4A5B">
      <w:pPr>
        <w:numPr>
          <w:ilvl w:val="0"/>
          <w:numId w:val="1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stipula le seguenti polizze assicurative:</w:t>
      </w:r>
    </w:p>
    <w:p w:rsidR="00FE4A5B" w:rsidRPr="00FE4A5B" w:rsidRDefault="00FE4A5B" w:rsidP="00FE4A5B">
      <w:pPr>
        <w:numPr>
          <w:ilvl w:val="1"/>
          <w:numId w:val="1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Responsabilità Civile verso Terzi con massimale non inferiore a € 2.000.000,00;</w:t>
      </w:r>
    </w:p>
    <w:p w:rsidR="00FE4A5B" w:rsidRPr="00FE4A5B" w:rsidRDefault="00FE4A5B" w:rsidP="00FE4A5B">
      <w:pPr>
        <w:numPr>
          <w:ilvl w:val="1"/>
          <w:numId w:val="1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Responsabilità Civile verso Prestatori di Lavoro con massimale adeguato;</w:t>
      </w:r>
    </w:p>
    <w:p w:rsidR="00FE4A5B" w:rsidRPr="00FE4A5B" w:rsidRDefault="00FE4A5B" w:rsidP="00FE4A5B">
      <w:pPr>
        <w:numPr>
          <w:ilvl w:val="1"/>
          <w:numId w:val="1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lastRenderedPageBreak/>
        <w:t>eventuali altre coperture specifiche per le attività svolte.</w:t>
      </w:r>
    </w:p>
    <w:p w:rsidR="00FE4A5B" w:rsidRPr="00FE4A5B" w:rsidRDefault="00FE4A5B" w:rsidP="00FE4A5B">
      <w:pPr>
        <w:numPr>
          <w:ilvl w:val="0"/>
          <w:numId w:val="14"/>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polizze devono coprire tutti i rischi connessi alle attività e alla permanenza negli spazi.</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10 - MONITORAGGIO E VALUTAZIONE</w:t>
      </w:r>
    </w:p>
    <w:p w:rsidR="00FE4A5B" w:rsidRPr="00FE4A5B" w:rsidRDefault="00FE4A5B" w:rsidP="00FE4A5B">
      <w:pPr>
        <w:numPr>
          <w:ilvl w:val="0"/>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monitoraggio è effettuato attraverso:</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Comitato di Monitoraggio con rappresentanti di entrambe le parti;</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riunioni trimestrali per verifica avanzamento;</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indicatori specifici di impatto sociale ed economico;</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report periodici sulle attività realizzate.</w:t>
      </w:r>
    </w:p>
    <w:p w:rsidR="00FE4A5B" w:rsidRPr="00FE4A5B" w:rsidRDefault="00FE4A5B" w:rsidP="00FE4A5B">
      <w:pPr>
        <w:numPr>
          <w:ilvl w:val="0"/>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Gli indicatori includono:</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livello di partecipazione della comunità;</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funzionamento degli organi di coordinamento;</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sviluppo del sistema di affiliazione;</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sostenibilità economica progressiva;</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qualità e accessibilità delle attività;</w:t>
      </w:r>
    </w:p>
    <w:p w:rsidR="00FE4A5B" w:rsidRPr="00FE4A5B" w:rsidRDefault="00FE4A5B" w:rsidP="00FE4A5B">
      <w:pPr>
        <w:numPr>
          <w:ilvl w:val="1"/>
          <w:numId w:val="15"/>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impatto sociale e civico sul territorio.</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11 - DIVIETO DI CESSIONE E SUBCONCESSIONE</w:t>
      </w:r>
    </w:p>
    <w:p w:rsidR="00FE4A5B" w:rsidRPr="00FE4A5B" w:rsidRDefault="00FE4A5B" w:rsidP="00FE4A5B">
      <w:pPr>
        <w:numPr>
          <w:ilvl w:val="0"/>
          <w:numId w:val="1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È vietata la cessione della convenzione da parte dell'EAP.</w:t>
      </w:r>
    </w:p>
    <w:p w:rsidR="00FE4A5B" w:rsidRPr="00FE4A5B" w:rsidRDefault="00FE4A5B" w:rsidP="00FE4A5B">
      <w:pPr>
        <w:numPr>
          <w:ilvl w:val="0"/>
          <w:numId w:val="1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È ammesso l'uso temporaneo di spazi da parte di terzi, purché:</w:t>
      </w:r>
    </w:p>
    <w:p w:rsidR="00FE4A5B" w:rsidRPr="00FE4A5B" w:rsidRDefault="00FE4A5B" w:rsidP="00FE4A5B">
      <w:pPr>
        <w:numPr>
          <w:ilvl w:val="1"/>
          <w:numId w:val="1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sia coerente con le finalità del progetto;</w:t>
      </w:r>
    </w:p>
    <w:p w:rsidR="00FE4A5B" w:rsidRPr="00FE4A5B" w:rsidRDefault="00FE4A5B" w:rsidP="00FE4A5B">
      <w:pPr>
        <w:numPr>
          <w:ilvl w:val="1"/>
          <w:numId w:val="1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non sostituisca le attività principali dell'EAP;</w:t>
      </w:r>
    </w:p>
    <w:p w:rsidR="00FE4A5B" w:rsidRPr="00FE4A5B" w:rsidRDefault="00FE4A5B" w:rsidP="00FE4A5B">
      <w:pPr>
        <w:numPr>
          <w:ilvl w:val="1"/>
          <w:numId w:val="16"/>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sia preventivamente comunicato all'Amministrazione.</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12 - INADEMPIENZE E PENALI</w:t>
      </w:r>
    </w:p>
    <w:p w:rsidR="00FE4A5B" w:rsidRPr="00FE4A5B" w:rsidRDefault="00FE4A5B" w:rsidP="00FE4A5B">
      <w:pPr>
        <w:numPr>
          <w:ilvl w:val="0"/>
          <w:numId w:val="1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 inadempienze vengono segnalate per iscritto con motivazione, cui l'EAP può rispondere in forma scritta.</w:t>
      </w:r>
    </w:p>
    <w:p w:rsidR="00FE4A5B" w:rsidRPr="00FE4A5B" w:rsidRDefault="00FE4A5B" w:rsidP="00FE4A5B">
      <w:pPr>
        <w:numPr>
          <w:ilvl w:val="0"/>
          <w:numId w:val="1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Dopo due o più inadempienze il Comune può valutare applicazione di penale o risoluzione della convenzione.</w:t>
      </w:r>
    </w:p>
    <w:p w:rsidR="00FE4A5B" w:rsidRPr="00FE4A5B" w:rsidRDefault="00FE4A5B" w:rsidP="00FE4A5B">
      <w:pPr>
        <w:numPr>
          <w:ilvl w:val="0"/>
          <w:numId w:val="17"/>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regime sanzionatorio applica i principi di proporzionalità e ragionevolezza.</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13 - RISOLUZIONE E RECESSO</w:t>
      </w:r>
    </w:p>
    <w:p w:rsidR="00FE4A5B" w:rsidRPr="00FE4A5B" w:rsidRDefault="00FE4A5B" w:rsidP="00FE4A5B">
      <w:pPr>
        <w:numPr>
          <w:ilvl w:val="0"/>
          <w:numId w:val="1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Comune può risolvere la convenzione per grave inadempimento dell'EAP.</w:t>
      </w:r>
    </w:p>
    <w:p w:rsidR="00FE4A5B" w:rsidRPr="00FE4A5B" w:rsidRDefault="00FE4A5B" w:rsidP="00FE4A5B">
      <w:pPr>
        <w:numPr>
          <w:ilvl w:val="0"/>
          <w:numId w:val="1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 casi di grave inadempimento sono definiti nei tavoli di co-progettazione.</w:t>
      </w:r>
    </w:p>
    <w:p w:rsidR="00FE4A5B" w:rsidRPr="00FE4A5B" w:rsidRDefault="00FE4A5B" w:rsidP="00FE4A5B">
      <w:pPr>
        <w:numPr>
          <w:ilvl w:val="0"/>
          <w:numId w:val="1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Due o più inadempimenti costituiscono grave inadempimento che può condurre alla risoluzione.</w:t>
      </w:r>
    </w:p>
    <w:p w:rsidR="00FE4A5B" w:rsidRPr="00FE4A5B" w:rsidRDefault="00FE4A5B" w:rsidP="00FE4A5B">
      <w:pPr>
        <w:numPr>
          <w:ilvl w:val="0"/>
          <w:numId w:val="1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Il recesso è ammesso con preavviso di almeno sei mesi.</w:t>
      </w:r>
    </w:p>
    <w:p w:rsidR="00FE4A5B" w:rsidRPr="00FE4A5B" w:rsidRDefault="00FE4A5B" w:rsidP="00FE4A5B">
      <w:pPr>
        <w:numPr>
          <w:ilvl w:val="0"/>
          <w:numId w:val="18"/>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In caso di risoluzione, il Comune valuta il rimborso dei costi effettivamente sostenuti e documentati.</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14 - TRATTAMENTO DATI PERSONALI</w:t>
      </w:r>
    </w:p>
    <w:p w:rsidR="00FE4A5B" w:rsidRPr="00FE4A5B" w:rsidRDefault="00FE4A5B" w:rsidP="00FE4A5B">
      <w:pPr>
        <w:numPr>
          <w:ilvl w:val="0"/>
          <w:numId w:val="1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 xml:space="preserve">Le Parti rispettano il </w:t>
      </w:r>
      <w:proofErr w:type="spellStart"/>
      <w:r w:rsidRPr="00FE4A5B">
        <w:rPr>
          <w:rFonts w:ascii="Times New Roman" w:eastAsia="Times New Roman" w:hAnsi="Times New Roman" w:cs="Times New Roman"/>
          <w:kern w:val="0"/>
          <w:sz w:val="22"/>
          <w:szCs w:val="22"/>
          <w:lang w:eastAsia="it-IT"/>
          <w14:ligatures w14:val="none"/>
        </w:rPr>
        <w:t>D.Lgs.</w:t>
      </w:r>
      <w:proofErr w:type="spellEnd"/>
      <w:r w:rsidRPr="00FE4A5B">
        <w:rPr>
          <w:rFonts w:ascii="Times New Roman" w:eastAsia="Times New Roman" w:hAnsi="Times New Roman" w:cs="Times New Roman"/>
          <w:kern w:val="0"/>
          <w:sz w:val="22"/>
          <w:szCs w:val="22"/>
          <w:lang w:eastAsia="it-IT"/>
          <w14:ligatures w14:val="none"/>
        </w:rPr>
        <w:t xml:space="preserve"> n. 196/2003 e GDPR 2016/679.</w:t>
      </w:r>
    </w:p>
    <w:p w:rsidR="00FE4A5B" w:rsidRPr="00FE4A5B" w:rsidRDefault="00FE4A5B" w:rsidP="00FE4A5B">
      <w:pPr>
        <w:numPr>
          <w:ilvl w:val="0"/>
          <w:numId w:val="1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L'EAP è designato Responsabile del trattamento ai sensi dell'art. 28 del GDPR.</w:t>
      </w:r>
    </w:p>
    <w:p w:rsidR="00FE4A5B" w:rsidRPr="00FE4A5B" w:rsidRDefault="00FE4A5B" w:rsidP="00FE4A5B">
      <w:pPr>
        <w:numPr>
          <w:ilvl w:val="0"/>
          <w:numId w:val="19"/>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Specifico Accordo disciplina oneri e responsabilità nel trattamento dati.</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p>
    <w:p w:rsidR="00FE4A5B" w:rsidRPr="00FE4A5B" w:rsidRDefault="00FE4A5B" w:rsidP="00FE4A5B">
      <w:pPr>
        <w:spacing w:after="0" w:line="240" w:lineRule="auto"/>
        <w:outlineLvl w:val="1"/>
        <w:rPr>
          <w:rFonts w:ascii="Times New Roman" w:eastAsia="Times New Roman" w:hAnsi="Times New Roman" w:cs="Times New Roman"/>
          <w:b/>
          <w:bCs/>
          <w:kern w:val="0"/>
          <w:lang w:eastAsia="it-IT"/>
          <w14:ligatures w14:val="none"/>
        </w:rPr>
      </w:pPr>
      <w:r w:rsidRPr="00FE4A5B">
        <w:rPr>
          <w:rFonts w:ascii="Times New Roman" w:eastAsia="Times New Roman" w:hAnsi="Times New Roman" w:cs="Times New Roman"/>
          <w:b/>
          <w:bCs/>
          <w:kern w:val="0"/>
          <w:lang w:eastAsia="it-IT"/>
          <w14:ligatures w14:val="none"/>
        </w:rPr>
        <w:t>Art. 15 - DISPOSIZIONI FINALI</w:t>
      </w:r>
    </w:p>
    <w:p w:rsidR="00FE4A5B" w:rsidRPr="00FE4A5B" w:rsidRDefault="00FE4A5B" w:rsidP="00FE4A5B">
      <w:pPr>
        <w:numPr>
          <w:ilvl w:val="0"/>
          <w:numId w:val="2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Per quanto non previsto si applica il Codice Civile e le disposizioni di legge vigenti.</w:t>
      </w:r>
    </w:p>
    <w:p w:rsidR="00FE4A5B" w:rsidRPr="00FE4A5B" w:rsidRDefault="00FE4A5B" w:rsidP="00FE4A5B">
      <w:pPr>
        <w:numPr>
          <w:ilvl w:val="0"/>
          <w:numId w:val="2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Controversie non risolte bonariamente sono rimesse al Foro di Bologna.</w:t>
      </w:r>
    </w:p>
    <w:p w:rsidR="00FE4A5B" w:rsidRPr="00FE4A5B" w:rsidRDefault="00FE4A5B" w:rsidP="00FE4A5B">
      <w:pPr>
        <w:numPr>
          <w:ilvl w:val="0"/>
          <w:numId w:val="20"/>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kern w:val="0"/>
          <w:sz w:val="22"/>
          <w:szCs w:val="22"/>
          <w:lang w:eastAsia="it-IT"/>
          <w14:ligatures w14:val="none"/>
        </w:rPr>
        <w:t>Registrazione a cura e spese dell'EAP in caso d'uso.</w:t>
      </w:r>
    </w:p>
    <w:p w:rsidR="00FE4A5B" w:rsidRPr="00FE4A5B" w:rsidRDefault="007C184B" w:rsidP="00FE4A5B">
      <w:pPr>
        <w:spacing w:after="0" w:line="240" w:lineRule="auto"/>
        <w:rPr>
          <w:rFonts w:ascii="Times New Roman" w:eastAsia="Times New Roman" w:hAnsi="Times New Roman" w:cs="Times New Roman"/>
          <w:kern w:val="0"/>
          <w:sz w:val="22"/>
          <w:szCs w:val="22"/>
          <w:lang w:eastAsia="it-IT"/>
          <w14:ligatures w14:val="none"/>
        </w:rPr>
      </w:pPr>
      <w:r w:rsidRPr="007C184B">
        <w:rPr>
          <w:rFonts w:ascii="Times New Roman" w:eastAsia="Times New Roman" w:hAnsi="Times New Roman" w:cs="Times New Roman"/>
          <w:noProof/>
          <w:kern w:val="0"/>
          <w:sz w:val="22"/>
          <w:szCs w:val="22"/>
          <w:lang w:eastAsia="it-IT"/>
        </w:rPr>
        <w:pict>
          <v:rect id="_x0000_i1027" alt="" style="width:481.9pt;height:.05pt;mso-width-percent:0;mso-height-percent:0;mso-width-percent:0;mso-height-percent:0" o:hralign="center" o:hrstd="t" o:hr="t" fillcolor="#a0a0a0" stroked="f"/>
        </w:pict>
      </w:r>
    </w:p>
    <w:p w:rsidR="00FE4A5B" w:rsidRPr="00FE4A5B" w:rsidRDefault="00FE4A5B" w:rsidP="00FE4A5B">
      <w:pPr>
        <w:spacing w:after="0" w:line="240" w:lineRule="auto"/>
        <w:outlineLvl w:val="1"/>
        <w:rPr>
          <w:rFonts w:ascii="Times New Roman" w:eastAsia="Times New Roman" w:hAnsi="Times New Roman" w:cs="Times New Roman"/>
          <w:b/>
          <w:bCs/>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ALLEGATI</w:t>
      </w:r>
    </w:p>
    <w:p w:rsidR="00FE4A5B" w:rsidRPr="00FE4A5B" w:rsidRDefault="00FE4A5B" w:rsidP="00FE4A5B">
      <w:pPr>
        <w:numPr>
          <w:ilvl w:val="0"/>
          <w:numId w:val="2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Allegato 1</w:t>
      </w:r>
      <w:r w:rsidRPr="00FE4A5B">
        <w:rPr>
          <w:rFonts w:ascii="Times New Roman" w:eastAsia="Times New Roman" w:hAnsi="Times New Roman" w:cs="Times New Roman"/>
          <w:kern w:val="0"/>
          <w:sz w:val="22"/>
          <w:szCs w:val="22"/>
          <w:lang w:eastAsia="it-IT"/>
          <w14:ligatures w14:val="none"/>
        </w:rPr>
        <w:t>: Progetto Definitivo di gestione partecipativa</w:t>
      </w:r>
    </w:p>
    <w:p w:rsidR="00FE4A5B" w:rsidRPr="00FE4A5B" w:rsidRDefault="00FE4A5B" w:rsidP="00FE4A5B">
      <w:pPr>
        <w:numPr>
          <w:ilvl w:val="0"/>
          <w:numId w:val="2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Allegato 2</w:t>
      </w:r>
      <w:r w:rsidRPr="00FE4A5B">
        <w:rPr>
          <w:rFonts w:ascii="Times New Roman" w:eastAsia="Times New Roman" w:hAnsi="Times New Roman" w:cs="Times New Roman"/>
          <w:kern w:val="0"/>
          <w:sz w:val="22"/>
          <w:szCs w:val="22"/>
          <w:lang w:eastAsia="it-IT"/>
          <w14:ligatures w14:val="none"/>
        </w:rPr>
        <w:t>: Cronoprogramma delle attività</w:t>
      </w:r>
    </w:p>
    <w:p w:rsidR="00FE4A5B" w:rsidRPr="00FE4A5B" w:rsidRDefault="00FE4A5B" w:rsidP="00FE4A5B">
      <w:pPr>
        <w:numPr>
          <w:ilvl w:val="0"/>
          <w:numId w:val="2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Allegato 3</w:t>
      </w:r>
      <w:r w:rsidRPr="00FE4A5B">
        <w:rPr>
          <w:rFonts w:ascii="Times New Roman" w:eastAsia="Times New Roman" w:hAnsi="Times New Roman" w:cs="Times New Roman"/>
          <w:kern w:val="0"/>
          <w:sz w:val="22"/>
          <w:szCs w:val="22"/>
          <w:lang w:eastAsia="it-IT"/>
          <w14:ligatures w14:val="none"/>
        </w:rPr>
        <w:t>: Regolamento di gestione degli spazi</w:t>
      </w:r>
    </w:p>
    <w:p w:rsidR="00FE4A5B" w:rsidRPr="00FE4A5B" w:rsidRDefault="00FE4A5B" w:rsidP="00FE4A5B">
      <w:pPr>
        <w:numPr>
          <w:ilvl w:val="0"/>
          <w:numId w:val="2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Allegato 4</w:t>
      </w:r>
      <w:r w:rsidRPr="00FE4A5B">
        <w:rPr>
          <w:rFonts w:ascii="Times New Roman" w:eastAsia="Times New Roman" w:hAnsi="Times New Roman" w:cs="Times New Roman"/>
          <w:kern w:val="0"/>
          <w:sz w:val="22"/>
          <w:szCs w:val="22"/>
          <w:lang w:eastAsia="it-IT"/>
          <w14:ligatures w14:val="none"/>
        </w:rPr>
        <w:t>: Sistema di indicatori per il monitoraggio</w:t>
      </w:r>
    </w:p>
    <w:p w:rsidR="00FE4A5B" w:rsidRPr="00FE4A5B" w:rsidRDefault="00FE4A5B" w:rsidP="00FE4A5B">
      <w:pPr>
        <w:numPr>
          <w:ilvl w:val="0"/>
          <w:numId w:val="21"/>
        </w:num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Allegato 5</w:t>
      </w:r>
      <w:r w:rsidRPr="00FE4A5B">
        <w:rPr>
          <w:rFonts w:ascii="Times New Roman" w:eastAsia="Times New Roman" w:hAnsi="Times New Roman" w:cs="Times New Roman"/>
          <w:kern w:val="0"/>
          <w:sz w:val="22"/>
          <w:szCs w:val="22"/>
          <w:lang w:eastAsia="it-IT"/>
          <w14:ligatures w14:val="none"/>
        </w:rPr>
        <w:t>: Accordo per il trattamento dei dati personali</w:t>
      </w:r>
    </w:p>
    <w:p w:rsidR="00FE4A5B" w:rsidRPr="00FE4A5B" w:rsidRDefault="007C184B" w:rsidP="00FE4A5B">
      <w:pPr>
        <w:spacing w:after="0" w:line="240" w:lineRule="auto"/>
        <w:rPr>
          <w:rFonts w:ascii="Times New Roman" w:eastAsia="Times New Roman" w:hAnsi="Times New Roman" w:cs="Times New Roman"/>
          <w:kern w:val="0"/>
          <w:sz w:val="22"/>
          <w:szCs w:val="22"/>
          <w:lang w:eastAsia="it-IT"/>
          <w14:ligatures w14:val="none"/>
        </w:rPr>
      </w:pPr>
      <w:r w:rsidRPr="007C184B">
        <w:rPr>
          <w:rFonts w:ascii="Times New Roman" w:eastAsia="Times New Roman" w:hAnsi="Times New Roman" w:cs="Times New Roman"/>
          <w:noProof/>
          <w:kern w:val="0"/>
          <w:sz w:val="22"/>
          <w:szCs w:val="22"/>
          <w:lang w:eastAsia="it-IT"/>
        </w:rPr>
        <w:pict>
          <v:rect id="_x0000_i1026" alt="" style="width:481.9pt;height:.05pt;mso-width-percent:0;mso-height-percent:0;mso-width-percent:0;mso-height-percent:0" o:hralign="center" o:hrstd="t" o:hr="t" fillcolor="#a0a0a0" stroked="f"/>
        </w:pic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lastRenderedPageBreak/>
        <w:t>Data:</w:t>
      </w:r>
      <w:r w:rsidRPr="00FE4A5B">
        <w:rPr>
          <w:rFonts w:ascii="Times New Roman" w:eastAsia="Times New Roman" w:hAnsi="Times New Roman" w:cs="Times New Roman"/>
          <w:kern w:val="0"/>
          <w:sz w:val="22"/>
          <w:szCs w:val="22"/>
          <w:lang w:eastAsia="it-IT"/>
          <w14:ligatures w14:val="none"/>
        </w:rPr>
        <w:t xml:space="preserve"> _____________ </w:t>
      </w:r>
      <w:r w:rsidRPr="00FE4A5B">
        <w:rPr>
          <w:rFonts w:ascii="Times New Roman" w:eastAsia="Times New Roman" w:hAnsi="Times New Roman" w:cs="Times New Roman"/>
          <w:b/>
          <w:bCs/>
          <w:kern w:val="0"/>
          <w:sz w:val="22"/>
          <w:szCs w:val="22"/>
          <w:lang w:eastAsia="it-IT"/>
          <w14:ligatures w14:val="none"/>
        </w:rPr>
        <w:t>Luogo:</w:t>
      </w:r>
      <w:r w:rsidRPr="00FE4A5B">
        <w:rPr>
          <w:rFonts w:ascii="Times New Roman" w:eastAsia="Times New Roman" w:hAnsi="Times New Roman" w:cs="Times New Roman"/>
          <w:kern w:val="0"/>
          <w:sz w:val="22"/>
          <w:szCs w:val="22"/>
          <w:lang w:eastAsia="it-IT"/>
          <w14:ligatures w14:val="none"/>
        </w:rPr>
        <w:t xml:space="preserve"> Rio Saliceto</w:t>
      </w:r>
    </w:p>
    <w:p w:rsidR="00FE4A5B" w:rsidRPr="00FE4A5B" w:rsidRDefault="00FE4A5B" w:rsidP="00FE4A5B">
      <w:pPr>
        <w:spacing w:after="0" w:line="240" w:lineRule="auto"/>
        <w:rPr>
          <w:rFonts w:ascii="Times New Roman" w:eastAsia="Times New Roman" w:hAnsi="Times New Roman" w:cs="Times New Roman"/>
          <w:kern w:val="0"/>
          <w:sz w:val="22"/>
          <w:szCs w:val="22"/>
          <w:lang w:eastAsia="it-IT"/>
          <w14:ligatures w14:val="none"/>
        </w:rPr>
      </w:pPr>
      <w:r w:rsidRPr="00FE4A5B">
        <w:rPr>
          <w:rFonts w:ascii="Times New Roman" w:eastAsia="Times New Roman" w:hAnsi="Times New Roman" w:cs="Times New Roman"/>
          <w:b/>
          <w:bCs/>
          <w:kern w:val="0"/>
          <w:sz w:val="22"/>
          <w:szCs w:val="22"/>
          <w:lang w:eastAsia="it-IT"/>
          <w14:ligatures w14:val="none"/>
        </w:rPr>
        <w:t>L'Amministrazione Procedente</w:t>
      </w:r>
      <w:r w:rsidRPr="00FE4A5B">
        <w:rPr>
          <w:rFonts w:ascii="Times New Roman" w:eastAsia="Times New Roman" w:hAnsi="Times New Roman" w:cs="Times New Roman"/>
          <w:kern w:val="0"/>
          <w:sz w:val="22"/>
          <w:szCs w:val="22"/>
          <w:lang w:eastAsia="it-IT"/>
          <w14:ligatures w14:val="none"/>
        </w:rPr>
        <w:t xml:space="preserve"> </w:t>
      </w:r>
      <w:r w:rsidRPr="00FE4A5B">
        <w:rPr>
          <w:rFonts w:ascii="Times New Roman" w:eastAsia="Times New Roman" w:hAnsi="Times New Roman" w:cs="Times New Roman"/>
          <w:b/>
          <w:bCs/>
          <w:kern w:val="0"/>
          <w:sz w:val="22"/>
          <w:szCs w:val="22"/>
          <w:lang w:eastAsia="it-IT"/>
          <w14:ligatures w14:val="none"/>
        </w:rPr>
        <w:t>L'Ente Attuatore Partner</w:t>
      </w:r>
      <w:r w:rsidRPr="00FE4A5B">
        <w:rPr>
          <w:rFonts w:ascii="Times New Roman" w:eastAsia="Times New Roman" w:hAnsi="Times New Roman" w:cs="Times New Roman"/>
          <w:kern w:val="0"/>
          <w:sz w:val="22"/>
          <w:szCs w:val="22"/>
          <w:lang w:eastAsia="it-IT"/>
          <w14:ligatures w14:val="none"/>
        </w:rPr>
        <w:br/>
        <w:t>Il Sindaco Il Legale Rappresentante</w:t>
      </w:r>
    </w:p>
    <w:p w:rsidR="00FE4A5B" w:rsidRPr="00FE4A5B" w:rsidRDefault="007C184B" w:rsidP="00FE4A5B">
      <w:pPr>
        <w:spacing w:after="0" w:line="240" w:lineRule="auto"/>
        <w:rPr>
          <w:rFonts w:ascii="Times New Roman" w:eastAsia="Times New Roman" w:hAnsi="Times New Roman" w:cs="Times New Roman"/>
          <w:kern w:val="0"/>
          <w:sz w:val="22"/>
          <w:szCs w:val="22"/>
          <w:lang w:eastAsia="it-IT"/>
          <w14:ligatures w14:val="none"/>
        </w:rPr>
      </w:pPr>
      <w:r w:rsidRPr="007C184B">
        <w:rPr>
          <w:rFonts w:ascii="Times New Roman" w:eastAsia="Times New Roman" w:hAnsi="Times New Roman" w:cs="Times New Roman"/>
          <w:noProof/>
          <w:kern w:val="0"/>
          <w:sz w:val="22"/>
          <w:szCs w:val="22"/>
          <w:lang w:eastAsia="it-IT"/>
        </w:rPr>
        <w:pict>
          <v:rect id="_x0000_i1025" alt="" style="width:481.9pt;height:.05pt;mso-width-percent:0;mso-height-percent:0;mso-width-percent:0;mso-height-percent:0" o:hralign="center" o:hrstd="t" o:hr="t" fillcolor="#a0a0a0" stroked="f"/>
        </w:pict>
      </w:r>
    </w:p>
    <w:p w:rsidR="00FE4A5B" w:rsidRPr="00FE4A5B" w:rsidRDefault="00FE4A5B" w:rsidP="00FE4A5B">
      <w:pPr>
        <w:spacing w:after="0" w:line="240" w:lineRule="auto"/>
        <w:rPr>
          <w:sz w:val="22"/>
          <w:szCs w:val="22"/>
        </w:rPr>
      </w:pPr>
    </w:p>
    <w:sectPr w:rsidR="00FE4A5B" w:rsidRPr="00FE4A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0FE"/>
    <w:multiLevelType w:val="multilevel"/>
    <w:tmpl w:val="2CE0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1C5A"/>
    <w:multiLevelType w:val="multilevel"/>
    <w:tmpl w:val="B64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E7AAB"/>
    <w:multiLevelType w:val="multilevel"/>
    <w:tmpl w:val="AA587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141BB"/>
    <w:multiLevelType w:val="multilevel"/>
    <w:tmpl w:val="BDF6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00665"/>
    <w:multiLevelType w:val="multilevel"/>
    <w:tmpl w:val="DFCC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67BB4"/>
    <w:multiLevelType w:val="multilevel"/>
    <w:tmpl w:val="1B34D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21AD3"/>
    <w:multiLevelType w:val="multilevel"/>
    <w:tmpl w:val="7C8EB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C7EEC"/>
    <w:multiLevelType w:val="multilevel"/>
    <w:tmpl w:val="FC18B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A6BE6"/>
    <w:multiLevelType w:val="multilevel"/>
    <w:tmpl w:val="6142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F57E9"/>
    <w:multiLevelType w:val="multilevel"/>
    <w:tmpl w:val="8092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81DC4"/>
    <w:multiLevelType w:val="multilevel"/>
    <w:tmpl w:val="4BAA2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530E39"/>
    <w:multiLevelType w:val="multilevel"/>
    <w:tmpl w:val="96F6E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36EF"/>
    <w:multiLevelType w:val="multilevel"/>
    <w:tmpl w:val="576E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A05B87"/>
    <w:multiLevelType w:val="multilevel"/>
    <w:tmpl w:val="0DD890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01544"/>
    <w:multiLevelType w:val="multilevel"/>
    <w:tmpl w:val="EE96B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014CA"/>
    <w:multiLevelType w:val="multilevel"/>
    <w:tmpl w:val="59C08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9967D4"/>
    <w:multiLevelType w:val="multilevel"/>
    <w:tmpl w:val="D7929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AB08A0"/>
    <w:multiLevelType w:val="multilevel"/>
    <w:tmpl w:val="00807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DD4AD8"/>
    <w:multiLevelType w:val="multilevel"/>
    <w:tmpl w:val="EE6A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45236"/>
    <w:multiLevelType w:val="multilevel"/>
    <w:tmpl w:val="58F6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5837B1"/>
    <w:multiLevelType w:val="multilevel"/>
    <w:tmpl w:val="5B7A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849005">
    <w:abstractNumId w:val="4"/>
  </w:num>
  <w:num w:numId="2" w16cid:durableId="134762414">
    <w:abstractNumId w:val="9"/>
  </w:num>
  <w:num w:numId="3" w16cid:durableId="1966540449">
    <w:abstractNumId w:val="1"/>
  </w:num>
  <w:num w:numId="4" w16cid:durableId="1537157602">
    <w:abstractNumId w:val="0"/>
  </w:num>
  <w:num w:numId="5" w16cid:durableId="964701732">
    <w:abstractNumId w:val="18"/>
  </w:num>
  <w:num w:numId="6" w16cid:durableId="162860286">
    <w:abstractNumId w:val="16"/>
  </w:num>
  <w:num w:numId="7" w16cid:durableId="1854802094">
    <w:abstractNumId w:val="2"/>
  </w:num>
  <w:num w:numId="8" w16cid:durableId="686563966">
    <w:abstractNumId w:val="10"/>
  </w:num>
  <w:num w:numId="9" w16cid:durableId="2048944670">
    <w:abstractNumId w:val="17"/>
  </w:num>
  <w:num w:numId="10" w16cid:durableId="451633941">
    <w:abstractNumId w:val="13"/>
  </w:num>
  <w:num w:numId="11" w16cid:durableId="1715739584">
    <w:abstractNumId w:val="14"/>
  </w:num>
  <w:num w:numId="12" w16cid:durableId="1749427533">
    <w:abstractNumId w:val="11"/>
  </w:num>
  <w:num w:numId="13" w16cid:durableId="1005519762">
    <w:abstractNumId w:val="5"/>
  </w:num>
  <w:num w:numId="14" w16cid:durableId="1793404295">
    <w:abstractNumId w:val="6"/>
  </w:num>
  <w:num w:numId="15" w16cid:durableId="2080395900">
    <w:abstractNumId w:val="15"/>
  </w:num>
  <w:num w:numId="16" w16cid:durableId="1868060683">
    <w:abstractNumId w:val="7"/>
  </w:num>
  <w:num w:numId="17" w16cid:durableId="536240208">
    <w:abstractNumId w:val="12"/>
  </w:num>
  <w:num w:numId="18" w16cid:durableId="257761961">
    <w:abstractNumId w:val="8"/>
  </w:num>
  <w:num w:numId="19" w16cid:durableId="784077180">
    <w:abstractNumId w:val="20"/>
  </w:num>
  <w:num w:numId="20" w16cid:durableId="1118260572">
    <w:abstractNumId w:val="19"/>
  </w:num>
  <w:num w:numId="21" w16cid:durableId="1991127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5B"/>
    <w:rsid w:val="006144EB"/>
    <w:rsid w:val="007C184B"/>
    <w:rsid w:val="00FE4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6382"/>
  <w15:chartTrackingRefBased/>
  <w15:docId w15:val="{68950CB8-10CE-D744-8DAE-5E7FBEFA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E4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FE4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E4A5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E4A5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E4A5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E4A5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E4A5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E4A5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E4A5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4A5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FE4A5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E4A5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E4A5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E4A5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E4A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E4A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E4A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E4A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FE4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E4A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E4A5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E4A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E4A5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E4A5B"/>
    <w:rPr>
      <w:i/>
      <w:iCs/>
      <w:color w:val="404040" w:themeColor="text1" w:themeTint="BF"/>
    </w:rPr>
  </w:style>
  <w:style w:type="paragraph" w:styleId="Paragrafoelenco">
    <w:name w:val="List Paragraph"/>
    <w:basedOn w:val="Normale"/>
    <w:uiPriority w:val="34"/>
    <w:qFormat/>
    <w:rsid w:val="00FE4A5B"/>
    <w:pPr>
      <w:ind w:left="720"/>
      <w:contextualSpacing/>
    </w:pPr>
  </w:style>
  <w:style w:type="character" w:styleId="Enfasiintensa">
    <w:name w:val="Intense Emphasis"/>
    <w:basedOn w:val="Carpredefinitoparagrafo"/>
    <w:uiPriority w:val="21"/>
    <w:qFormat/>
    <w:rsid w:val="00FE4A5B"/>
    <w:rPr>
      <w:i/>
      <w:iCs/>
      <w:color w:val="0F4761" w:themeColor="accent1" w:themeShade="BF"/>
    </w:rPr>
  </w:style>
  <w:style w:type="paragraph" w:styleId="Citazioneintensa">
    <w:name w:val="Intense Quote"/>
    <w:basedOn w:val="Normale"/>
    <w:next w:val="Normale"/>
    <w:link w:val="CitazioneintensaCarattere"/>
    <w:uiPriority w:val="30"/>
    <w:qFormat/>
    <w:rsid w:val="00FE4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E4A5B"/>
    <w:rPr>
      <w:i/>
      <w:iCs/>
      <w:color w:val="0F4761" w:themeColor="accent1" w:themeShade="BF"/>
    </w:rPr>
  </w:style>
  <w:style w:type="character" w:styleId="Riferimentointenso">
    <w:name w:val="Intense Reference"/>
    <w:basedOn w:val="Carpredefinitoparagrafo"/>
    <w:uiPriority w:val="32"/>
    <w:qFormat/>
    <w:rsid w:val="00FE4A5B"/>
    <w:rPr>
      <w:b/>
      <w:bCs/>
      <w:smallCaps/>
      <w:color w:val="0F4761" w:themeColor="accent1" w:themeShade="BF"/>
      <w:spacing w:val="5"/>
    </w:rPr>
  </w:style>
  <w:style w:type="paragraph" w:styleId="NormaleWeb">
    <w:name w:val="Normal (Web)"/>
    <w:basedOn w:val="Normale"/>
    <w:uiPriority w:val="99"/>
    <w:semiHidden/>
    <w:unhideWhenUsed/>
    <w:rsid w:val="00FE4A5B"/>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FE4A5B"/>
    <w:rPr>
      <w:b/>
      <w:bCs/>
    </w:rPr>
  </w:style>
  <w:style w:type="character" w:styleId="Enfasicorsivo">
    <w:name w:val="Emphasis"/>
    <w:basedOn w:val="Carpredefinitoparagrafo"/>
    <w:uiPriority w:val="20"/>
    <w:qFormat/>
    <w:rsid w:val="00FE4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Guarino</dc:creator>
  <cp:keywords/>
  <dc:description/>
  <cp:lastModifiedBy>Monia Guarino</cp:lastModifiedBy>
  <cp:revision>1</cp:revision>
  <dcterms:created xsi:type="dcterms:W3CDTF">2025-06-27T20:05:00Z</dcterms:created>
  <dcterms:modified xsi:type="dcterms:W3CDTF">2025-06-27T20:08:00Z</dcterms:modified>
</cp:coreProperties>
</file>